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C7873" w:color="auto" w:val="clear"/>
            <w:tcMar>
              <w:top w:type="dxa" w:w="130"/>
              <w:left w:type="dxa" w:w="200"/>
              <w:bottom w:type="dxa" w:w="130"/>
              <w:right w:type="dxa" w:w="200"/>
            </w:tcMar>
            <w:vAlign w:val="top"/>
          </w:tcPr>
          <w:p>
            <w:pPr>
              <w:spacing w:before="60" w:after="1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8963E"/>
                <w:sz w:val="20"/>
                <w:szCs w:val="20"/>
              </w:rPr>
              <w:t xml:space="preserve">ETUDE DE CAS N°3</w:t>
            </w:r>
          </w:p>
          <w:p>
            <w:pPr>
              <w:spacing w:before="0" w:after="1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36"/>
                <w:szCs w:val="36"/>
              </w:rPr>
              <w:t xml:space="preserve">SUCRERIE DE LA VALLEE</w:t>
            </w:r>
          </w:p>
          <w:p>
            <w:pPr>
              <w:spacing w:before="0" w:after="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A8C4DC"/>
                <w:sz w:val="20"/>
                <w:szCs w:val="20"/>
              </w:rPr>
              <w:t xml:space="preserve">Quand le Symptome Cache le Systeme — Mission de Transformation Organisationnelle</w:t>
            </w:r>
          </w:p>
        </w:tc>
      </w:tr>
    </w:tbl>
    <w:p>
      <w:pPr>
        <w:spacing w:before="80" w:after="6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76"/>
        <w:gridCol w:w="2476"/>
        <w:gridCol w:w="2476"/>
        <w:gridCol w:w="2476"/>
      </w:tblGrid>
      <w:tr>
        <w:trPr>
          <w:tblHeader w:val="false"/>
        </w:trP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SECTEUR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Agroalimentaire
100 jours/campagne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Production betterave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6DA4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DUREE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4 mois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Mission complexe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8963E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ROI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4:1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800 k euros/120 k euros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GAINS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800 000 euros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/ campagne betteraviere</w:t>
            </w:r>
          </w:p>
        </w:tc>
      </w:tr>
    </w:tbl>
    <w:p>
      <w:pPr>
        <w:spacing w:before="60" w:after="5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C7873" w:sz="14"/>
              <w:bottom w:val="none" w:sz="0" w:space="0" w:color="auto"/>
              <w:right w:val="none" w:sz="0" w:space="0" w:color="auto"/>
            </w:tcBorders>
            <w:shd w:fill="D4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2C7873" w:sz="4"/>
                <w:right w:val="none" w:color="FFFFFF" w:sz="0"/>
              </w:pBdr>
              <w:spacing w:before="55" w:after="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C7873"/>
                <w:sz w:val="20"/>
                <w:szCs w:val="20"/>
              </w:rPr>
              <w:t xml:space="preserve">SYNOPSIS — SUCRERIE DE LA VALLEE</w:t>
            </w:r>
          </w:p>
          <w:p>
            <w:pPr>
              <w:spacing w:before="30" w:after="55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La Sucrerie de la Vallee transforme 8 000 tonnes de betteraves par jour pendant une campagne de 100 jours. Chaque jour d arret non planifie coute 150 000 euros de perte de marge. TRS a 65%, retards recurrents, tensions inter-services. La mission confiee a Sophie Laurent, consultante senior, revele que le vrai probleme n est ni la maintenance ni la formation, mais la gouvernance de la planification et l absence de delegation des decisions. Cette etude illustre comment les meilleures transformations operationnelles commencent par une reformulation courageuse du probleme.</w:t>
            </w:r>
          </w:p>
        </w:tc>
      </w:tr>
    </w:tbl>
    <w:p>
      <w:pPr>
        <w:spacing w:before="30" w:after="24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81"/>
        <w:gridCol w:w="1584"/>
        <w:gridCol w:w="1981"/>
        <w:gridCol w:w="4360"/>
      </w:tblGrid>
      <w:tr>
        <w:trPr>
          <w:tblHeader/>
        </w:trPr>
        <w:tc>
          <w:tcPr>
            <w:tcW w:type="dxa" w:w="198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C7873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ACTEUR</w:t>
            </w:r>
          </w:p>
        </w:tc>
        <w:tc>
          <w:tcPr>
            <w:tcW w:type="dxa" w:w="1584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C7873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ROLE INITIAL</w:t>
            </w:r>
          </w:p>
        </w:tc>
        <w:tc>
          <w:tcPr>
            <w:tcW w:type="dxa" w:w="198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C7873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POSTURE DEPART</w:t>
            </w:r>
          </w:p>
        </w:tc>
        <w:tc>
          <w:tcPr>
            <w:tcW w:type="dxa" w:w="436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C7873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EVOLUTION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Sophie Laurent</w:t>
            </w:r>
          </w:p>
        </w:tc>
        <w:tc>
          <w:tcPr>
            <w:tcW w:type="dxa" w:w="158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Consultante senior missionnee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Expert neutre mandate</w:t>
            </w:r>
          </w:p>
        </w:tc>
        <w:tc>
          <w:tcPr>
            <w:tcW w:type="dxa" w:w="436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Coach et facilitatrice strategique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Marc D.</w:t>
            </w:r>
          </w:p>
        </w:tc>
        <w:tc>
          <w:tcPr>
            <w:tcW w:type="dxa" w:w="158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Dir. Industriel Groupe (Paris)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Commanditaire et payeur</w:t>
            </w:r>
          </w:p>
        </w:tc>
        <w:tc>
          <w:tcPr>
            <w:tcW w:type="dxa" w:w="436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Faux sponsor, manque de pouvoir local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M. L.</w:t>
            </w:r>
          </w:p>
        </w:tc>
        <w:tc>
          <w:tcPr>
            <w:tcW w:type="dxa" w:w="158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Directeur du site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Absent du cadrage initial</w:t>
            </w:r>
          </w:p>
        </w:tc>
        <w:tc>
          <w:tcPr>
            <w:tcW w:type="dxa" w:w="436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Opposant silencieux -&gt; VRAI Sponsor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Luc</w:t>
            </w:r>
          </w:p>
        </w:tc>
        <w:tc>
          <w:tcPr>
            <w:tcW w:type="dxa" w:w="158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Resp. Production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Victime du systeme</w:t>
            </w:r>
          </w:p>
        </w:tc>
        <w:tc>
          <w:tcPr>
            <w:tcW w:type="dxa" w:w="436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Allie cle, demandeur de stabilite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Thierry</w:t>
            </w:r>
          </w:p>
        </w:tc>
        <w:tc>
          <w:tcPr>
            <w:tcW w:type="dxa" w:w="158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Resp. Commercial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Habitue d imposer ses priorites</w:t>
            </w:r>
          </w:p>
        </w:tc>
        <w:tc>
          <w:tcPr>
            <w:tcW w:type="dxa" w:w="436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Opposant puissant, source de Muda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Nadia</w:t>
            </w:r>
          </w:p>
        </w:tc>
        <w:tc>
          <w:tcPr>
            <w:tcW w:type="dxa" w:w="158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Resp. Qualite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Observatrice des tensions</w:t>
            </w:r>
          </w:p>
        </w:tc>
        <w:tc>
          <w:tcPr>
            <w:tcW w:type="dxa" w:w="436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Alliee une fois les tensions explicitees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C7873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CHAP. 1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2C7873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C7873"/>
                <w:sz w:val="20"/>
                <w:szCs w:val="20"/>
              </w:rPr>
              <w:t xml:space="preserve">NE PAS REPONDRE A LA DEMANDE — REFORMULER  (Chapitre 1)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La demande initiale de Marc D. est tres operationnelle, presque technique : realiser un diagnostic maintenance et deployer une formation Lean. Sophie note d emblee que cette formulation cache probablement un probleme systemique plus profond. Elle applique la technique de reformulation des la premier appel.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C7873" w:sz="14"/>
              <w:bottom w:val="none" w:sz="0" w:space="0" w:color="auto"/>
              <w:right w:val="none" w:sz="0" w:space="0" w:color="auto"/>
            </w:tcBorders>
            <w:shd w:fill="D4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2C7873" w:sz="4"/>
                <w:right w:val="none" w:color="FFFFFF" w:sz="0"/>
              </w:pBdr>
              <w:spacing w:before="55" w:after="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C7873"/>
                <w:sz w:val="20"/>
                <w:szCs w:val="20"/>
              </w:rPr>
              <w:t xml:space="preserve">DIALOGUE DE REFORMULATION (A REPRODUIRE)</w:t>
            </w:r>
          </w:p>
          <w:p>
            <w:pPr>
              <w:spacing w:before="30" w:after="55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Marc explique la demande. Sophie pose la question cle : Depuis quand observez-vous ces retards ? Et qu avez-vous deja essaye ? Marc revele qu un responsable maintenance a ete nomme il y a un an sans resultat. Sophie demande : Qui a analyse les causes des arrets ? A-t-on distingue pannes, attentes, et problemes d organisation ? Silence. Personne n avait fait d analyse terrain approfondie. Sophie propose un pre-diagnostic de 2 semaines avant tout engagement sur la formation ou le plan maintenance. Marc accepte, soulagé de voir une approche differente.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C7873" w:sz="10"/>
              <w:bottom w:val="none" w:sz="0" w:space="0" w:color="auto"/>
              <w:right w:val="none" w:sz="0" w:space="0" w:color="auto"/>
            </w:tcBorders>
            <w:shd w:fill="EBF5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C7873"/>
                <w:sz w:val="19"/>
                <w:szCs w:val="19"/>
              </w:rPr>
              <w:t xml:space="preserve">CONSEIL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La reformulation n est pas une technique. C est une posture : refuser d etre un executant, reprendre le controle du cadrage, et poser des conditions avant de s engager. Cette posture distingue le consultant expert du prestataire de formation.</w:t>
            </w:r>
          </w:p>
        </w:tc>
      </w:tr>
    </w:tbl>
    <w:p>
      <w:pPr>
        <w:spacing w:before="50" w:after="4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CHAP. 2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1B3A5C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B3A5C"/>
                <w:sz w:val="20"/>
                <w:szCs w:val="20"/>
              </w:rPr>
              <w:t xml:space="preserve">LES 3 NIVEAUX DU BESOIN — DU SYMPTOME AU SYSTEME  (Chapitre 2)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Deux semaines de pré-diagnostic terrain. Sophie observe les postes, suit des equipes, s entretient avec tous les niveaux. Elle decouvre des faits qui ne figurent dans aucun rapport.</w:t>
      </w:r>
    </w:p>
    <w:p>
      <w:pPr>
        <w:spacing w:before="10" w:after="8"/>
      </w:pP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Chaque matin : les equipes attendent 30 a 120 minutes les consignes (planning non valide)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Le commercial modifie les ordres de fabrication jusqu a 3 fois par jour, apres debut des series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40% des temps d arret : attentes de decision (approbation budget reparation, arbitrage prod/qualite)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Les rapports mensuels indiquent pannes maintenance alors que la realite montre attentes de decision</w:t>
      </w:r>
    </w:p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2773"/>
        <w:gridCol w:w="4954"/>
      </w:tblGrid>
      <w:tr>
        <w:trPr>
          <w:tblHeader/>
        </w:trPr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1B3A5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NIVEAU</w:t>
            </w:r>
          </w:p>
        </w:tc>
        <w:tc>
          <w:tcPr>
            <w:tcW w:type="dxa" w:w="27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1B3A5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DESCRIPTION</w:t>
            </w:r>
          </w:p>
        </w:tc>
        <w:tc>
          <w:tcPr>
            <w:tcW w:type="dxa" w:w="4954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1B3A5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EXEMPLES RELEVES SUR SITE</w:t>
            </w:r>
          </w:p>
        </w:tc>
      </w:tr>
      <w:tr>
        <w:trPr>
          <w:tblHeader w:val="false"/>
        </w:trPr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1. Symptome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Ce que le client annonce</w:t>
            </w:r>
          </w:p>
        </w:tc>
        <w:tc>
          <w:tcPr>
            <w:tcW w:type="dxa" w:w="495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TRS a 65%, retards clients, defauts qualite, couts maintenance</w:t>
            </w:r>
          </w:p>
        </w:tc>
      </w:tr>
      <w:tr>
        <w:trPr>
          <w:tblHeader w:val="false"/>
        </w:trPr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2. Causes operationnelles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Pannes, competences, organisation du flux</w:t>
            </w:r>
          </w:p>
        </w:tc>
        <w:tc>
          <w:tcPr>
            <w:tcW w:type="dxa" w:w="495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Manque de formation, pannes centrifugeur, absence de standards</w:t>
            </w:r>
          </w:p>
        </w:tc>
      </w:tr>
      <w:tr>
        <w:trPr>
          <w:tblHeader w:val="false"/>
        </w:trPr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3. Causes systemiques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Management, processus decisionnel, pilotage</w:t>
            </w:r>
          </w:p>
        </w:tc>
        <w:tc>
          <w:tcPr>
            <w:tcW w:type="dxa" w:w="495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Planning instable (commercial prioritaire), zero delegation de decision, cadres en silo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53030" w:sz="10"/>
              <w:bottom w:val="none" w:sz="0" w:space="0" w:color="auto"/>
              <w:right w:val="none" w:sz="0" w:space="0" w:color="auto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9"/>
                <w:szCs w:val="19"/>
              </w:rPr>
              <w:t xml:space="preserve">POINT CLE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Decouverte cle : 40% des arrets sont des attentes de decision. Le vrai levier n est ni la maintenance ni la formation, mais la gouvernance de la planification et la delegation de certaines autorites. Cette conclusion redefinit completement la mission.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CHAP. 3 ET 4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0D1B2A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20"/>
                <w:szCs w:val="20"/>
              </w:rPr>
              <w:t xml:space="preserve">IDENTIFIER LE VRAI SPONSOR + CARTOGRAPHIE POLITIQUE  (Chap. 3 et 4)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Sophie realise qu elle n a jamais parle avec le vrai decideur. Marc D. a le budget mais pas le pouvoir local. Elle demande un entretien avec Monsieur L., Directeur du site.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0D1B2A" w:sz="14"/>
              <w:bottom w:val="none" w:sz="0" w:space="0" w:color="auto"/>
              <w:right w:val="none" w:sz="0" w:space="0" w:color="auto"/>
            </w:tcBorders>
            <w:shd w:fill="F0F4F8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0D1B2A" w:sz="4"/>
                <w:right w:val="none" w:color="FFFFFF" w:sz="0"/>
              </w:pBdr>
              <w:spacing w:before="55" w:after="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20"/>
                <w:szCs w:val="20"/>
              </w:rPr>
              <w:t xml:space="preserve">L'ENTRETIEN STRATEGIQUE AVEC LE VRAI SPONSOR</w:t>
            </w:r>
          </w:p>
          <w:p>
            <w:pPr>
              <w:spacing w:before="30" w:after="55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Question posee par Sophie : Monsieur L., si nous devons arbitrer entre production et qualite un jour de pointe, qui prendra la decision finale ? Reponse sans hesitation : C est moi. Sophie decouvre aussi qu il a vecu un deploiement Lean rate sur un precedent site (consultants imposant des outils sans comprendre le metier). Il est opposant silencieux. La strategie de Sophie : l impliquer dans la solution, lui garantir que le projet sera co-construit avec ses equipes. Sa condition : respecter le metier sucrier. Resultat : l opposant devient Sponsor.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La cartographie des parties prenantes revele une dynamique politique sous-jacente qui explique l echec des projets precedents.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81"/>
        <w:gridCol w:w="1981"/>
        <w:gridCol w:w="2971"/>
        <w:gridCol w:w="2973"/>
      </w:tblGrid>
      <w:tr>
        <w:trPr>
          <w:tblHeader/>
        </w:trPr>
        <w:tc>
          <w:tcPr>
            <w:tcW w:type="dxa" w:w="198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ACTEUR</w:t>
            </w:r>
          </w:p>
        </w:tc>
        <w:tc>
          <w:tcPr>
            <w:tcW w:type="dxa" w:w="198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CATEGORIE</w:t>
            </w:r>
          </w:p>
        </w:tc>
        <w:tc>
          <w:tcPr>
            <w:tcW w:type="dxa" w:w="297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ENJEU REEL</w:t>
            </w:r>
          </w:p>
        </w:tc>
        <w:tc>
          <w:tcPr>
            <w:tcW w:type="dxa" w:w="29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STRATEGIE D'IMPLICATION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Monsieur L.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Opposant -&gt; Sponsor</w:t>
            </w:r>
          </w:p>
        </w:tc>
        <w:tc>
          <w:tcPr>
            <w:tcW w:type="dxa" w:w="29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Peur de perdre le controle</w:t>
            </w:r>
          </w:p>
        </w:tc>
        <w:tc>
          <w:tcPr>
            <w:tcW w:type="dxa" w:w="29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Sponsor officiel avec role clair : trancher les arbitrages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Luc (Production)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Allie potentiel</w:t>
            </w:r>
          </w:p>
        </w:tc>
        <w:tc>
          <w:tcPr>
            <w:tcW w:type="dxa" w:w="29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Subit les changements non planifies</w:t>
            </w:r>
          </w:p>
        </w:tc>
        <w:tc>
          <w:tcPr>
            <w:tcW w:type="dxa" w:w="29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Valoriser son expertise, en faire le pilote de la nouvelle organisation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Thierry (Commerce)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Opposant fort</w:t>
            </w:r>
          </w:p>
        </w:tc>
        <w:tc>
          <w:tcPr>
            <w:tcW w:type="dxa" w:w="29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Pouvoir d imposition habitual menace</w:t>
            </w:r>
          </w:p>
        </w:tc>
        <w:tc>
          <w:tcPr>
            <w:tcW w:type="dxa" w:w="29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Calculer le cout de ses changements : 2000 euros/modification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Richard (Maintenance)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Neutre mecontributeur</w:t>
            </w:r>
          </w:p>
        </w:tc>
        <w:tc>
          <w:tcPr>
            <w:tcW w:type="dxa" w:w="29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Pense que c est un probleme budgetaire</w:t>
            </w:r>
          </w:p>
        </w:tc>
        <w:tc>
          <w:tcPr>
            <w:tcW w:type="dxa" w:w="29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Impliquer dans la mesure des gains potentiels</w:t>
            </w:r>
          </w:p>
        </w:tc>
      </w:tr>
      <w:tr>
        <w:trPr>
          <w:tblHeader w:val="false"/>
        </w:trPr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Nadia (Qualite)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Alliee potentielle</w:t>
            </w:r>
          </w:p>
        </w:tc>
        <w:tc>
          <w:tcPr>
            <w:tcW w:type="dxa" w:w="29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Voit les defauts augmenter a cause du stress</w:t>
            </w:r>
          </w:p>
        </w:tc>
        <w:tc>
          <w:tcPr>
            <w:tcW w:type="dxa" w:w="29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Montrer le lien entre instabilite planning et defauts qualite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6DA4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CHAP. 5 A 7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2E6DA4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E6DA4"/>
                <w:sz w:val="20"/>
                <w:szCs w:val="20"/>
              </w:rPr>
              <w:t xml:space="preserve">PREMIER ENTRETIEN EXPERT + GEMBA + GO/NO-GO  (Chap. 5 a 7)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Sophie conduit une investigation strategique selon 3 axes et pose des conditions explicites avant de s engager. Cette rigueur de Go/No-Go est le facteur qui differencie les missions reussies des missions risquees.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83"/>
        <w:gridCol w:w="2773"/>
        <w:gridCol w:w="2377"/>
        <w:gridCol w:w="2973"/>
      </w:tblGrid>
      <w:tr>
        <w:trPr>
          <w:tblHeader/>
        </w:trPr>
        <w:tc>
          <w:tcPr>
            <w:tcW w:type="dxa" w:w="178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AXE</w:t>
            </w:r>
          </w:p>
        </w:tc>
        <w:tc>
          <w:tcPr>
            <w:tcW w:type="dxa" w:w="27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QUESTIONS POSEES</w:t>
            </w:r>
          </w:p>
        </w:tc>
        <w:tc>
          <w:tcPr>
            <w:tcW w:type="dxa" w:w="2377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RESULTAT</w:t>
            </w:r>
          </w:p>
        </w:tc>
        <w:tc>
          <w:tcPr>
            <w:tcW w:type="dxa" w:w="29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EVALUATION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Business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Quel est l impact financier reel ? Priorite strategique ?</w:t>
            </w:r>
          </w:p>
        </w:tc>
        <w:tc>
          <w:tcPr>
            <w:tcW w:type="dxa" w:w="23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Retards = 2 M euros/an en penalites. TRS est KPI groupe.</w:t>
            </w:r>
          </w:p>
        </w:tc>
        <w:tc>
          <w:tcPr>
            <w:tcW w:type="dxa" w:w="29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FORT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Politique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Alignement direction ? Conflits internes ?</w:t>
            </w:r>
          </w:p>
        </w:tc>
        <w:tc>
          <w:tcPr>
            <w:tcW w:type="dxa" w:w="23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Marc et M. L. non alignes. Conflit commercial-production profond.</w:t>
            </w:r>
          </w:p>
        </w:tc>
        <w:tc>
          <w:tcPr>
            <w:tcW w:type="dxa" w:w="29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FAIBLE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Operationnel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Donnees fiables ? Probleme mesurable ?</w:t>
            </w:r>
          </w:p>
        </w:tc>
        <w:tc>
          <w:tcPr>
            <w:tcW w:type="dxa" w:w="23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KPI ne comptabilisent pas les attentes de decision.</w:t>
            </w:r>
          </w:p>
        </w:tc>
        <w:tc>
          <w:tcPr>
            <w:tcW w:type="dxa" w:w="29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BIAISE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53030" w:sz="10"/>
              <w:bottom w:val="none" w:sz="0" w:space="0" w:color="auto"/>
              <w:right w:val="none" w:sz="0" w:space="0" w:color="auto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9"/>
                <w:szCs w:val="19"/>
              </w:rPr>
              <w:t xml:space="preserve">POINT CLE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Deux axes sur trois sont fragiles. Selon la regle d or, la mission est a risque. Sophie ne signe pas le contrat en l etat. Elle propose un atelier de co-construction avant tout engagement. C est du courage professionnel.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Conditions posees avant engagement : (1) Le projet portera sur la stabilite du planning et la delegation des decisions - pas sur la formation Lean au depart, (2) Monsieur L. sera le Sponsor decisionnell avec engagement sur les arbitrages, (3) Acces terrain a tout moment sans filtre.</w:t>
      </w:r>
    </w:p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D7D46" w:sz="10"/>
              <w:bottom w:val="none" w:sz="0" w:space="0" w:color="auto"/>
              <w:right w:val="none" w:sz="0" w:space="0" w:color="auto"/>
            </w:tcBorders>
            <w:shd w:fill="EBF5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9"/>
                <w:szCs w:val="19"/>
              </w:rPr>
              <w:t xml:space="preserve">RESULTAT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Budget valide : 120 000 euros sur 4 mois. Gain estime : 800 000 euros / campagne. ROI projete : 4:1. Mission validee pour 4 mois.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07B39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CHAP. 8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E07B39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07B39"/>
                <w:sz w:val="20"/>
                <w:szCs w:val="20"/>
              </w:rPr>
              <w:t xml:space="preserve">GESTION DE MISSION AVEC AGILITE ET HAUTEUR DE VUE  (Chapitre 8)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Organisation mission : point terrain chaque matin avec le responsable production ; comite de pilotage bimensuel avec Monsieur L. et Marc. Indicateurs suivis quotidiennement : temps d attente decision, TRS, satisfaction operateurs.</w:t>
      </w:r>
    </w:p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2773"/>
        <w:gridCol w:w="4954"/>
      </w:tblGrid>
      <w:tr>
        <w:trPr>
          <w:tblHeader/>
        </w:trPr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C53030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PIEGE RENCONTRE</w:t>
            </w:r>
          </w:p>
        </w:tc>
        <w:tc>
          <w:tcPr>
            <w:tcW w:type="dxa" w:w="27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C53030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SITUATION CONCRETE</w:t>
            </w:r>
          </w:p>
        </w:tc>
        <w:tc>
          <w:tcPr>
            <w:tcW w:type="dxa" w:w="4954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C53030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DECISION ET LECON</w:t>
            </w:r>
          </w:p>
        </w:tc>
      </w:tr>
      <w:tr>
        <w:trPr>
          <w:tblHeader w:val="false"/>
        </w:trPr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Scope Creep silencieux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Maintenance demande d analyser le stock de pieces detachees (5 jours de travail)</w:t>
            </w:r>
          </w:p>
        </w:tc>
        <w:tc>
          <w:tcPr>
            <w:tcW w:type="dxa" w:w="495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Arbitrage ecrit au Sponsor en 24h. Reponse : garder le cap. Piege evite.</w:t>
            </w:r>
          </w:p>
        </w:tc>
      </w:tr>
      <w:tr>
        <w:trPr>
          <w:tblHeader w:val="false"/>
        </w:trPr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Paralysie decisionnelle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Reunions planning chaotiques, commercial change apres 9h</w:t>
            </w:r>
          </w:p>
        </w:tc>
        <w:tc>
          <w:tcPr>
            <w:tcW w:type="dxa" w:w="495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Calculer le cout : 2000 euros par changement apres 8h30. Point de verite : M. L. tranche.</w:t>
            </w:r>
          </w:p>
        </w:tc>
      </w:tr>
      <w:tr>
        <w:trPr>
          <w:tblHeader w:val="false"/>
        </w:trPr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Dissonance indicateurs / realite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TRS ameliore officiellement, mais Gemba surprise revele changements apres la limite</w:t>
            </w:r>
          </w:p>
        </w:tc>
        <w:tc>
          <w:tcPr>
            <w:tcW w:type="dxa" w:w="495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Ne pas faire confiance aux seuls indicateurs. Maintenir le Gemba surprise.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C7873" w:sz="10"/>
              <w:bottom w:val="none" w:sz="0" w:space="0" w:color="auto"/>
              <w:right w:val="none" w:sz="0" w:space="0" w:color="auto"/>
            </w:tcBorders>
            <w:shd w:fill="EBF5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C7873"/>
                <w:sz w:val="19"/>
                <w:szCs w:val="19"/>
              </w:rPr>
              <w:t xml:space="preserve">CONSEIL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La technique du cout de la disfonction : calculer en euros le cout d un comportement specifique (2000 euros / changement apres 8h30) permet de depolitiser le debat. Les chiffres remplacent les opinions. Le decideur peut alors trancher sans froissement.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CHAP. 9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2D7D46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20"/>
                <w:szCs w:val="20"/>
              </w:rPr>
              <w:t xml:space="preserve">CLOTURE ET PERENNISATION SANS DEPENDANCE  (Chapitre 9)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Sophie annonce la fin de mission a 3 mois. Elle prepare le transfert progressif du pilotage : le responsable production co-anime les reunions, puis les anime seul. Une A3 synthetise les rituels, les roles et les regles de decision.</w:t>
      </w:r>
    </w:p>
    <w:p>
      <w:pPr>
        <w:spacing w:before="10" w:after="8"/>
      </w:pP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Co-animation : Sophie facilite, le Responsable Production anime les 4 dernieres semaines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Documentation legere : 1 A3 (pas de lourd manuel) avec rituels, roles, regles de decision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Formation de 2 operateurs pour accompagner les saisonniers la campagne suivante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Visite de controle a J+3 mois, sans facturation : confirmation de l ancrage</w:t>
      </w:r>
    </w:p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D7D46" w:sz="10"/>
              <w:bottom w:val="none" w:sz="0" w:space="0" w:color="auto"/>
              <w:right w:val="none" w:sz="0" w:space="0" w:color="auto"/>
            </w:tcBorders>
            <w:shd w:fill="EBF5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9"/>
                <w:szCs w:val="19"/>
              </w:rPr>
              <w:t xml:space="preserve">RESULTAT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TRS : 76% (objectif 80% non atteint mais TRS en campagne precedente : 65%). Temps attente decision divise par 3. Gains certifies : 800 000 euros. Cout mission : 120 000 euros. ROI : 4:1. La mission s est cloturee sans prolongation - mesure ultime du succes.</w:t>
            </w:r>
          </w:p>
        </w:tc>
      </w:tr>
    </w:tbl>
    <w:p>
      <w:pPr>
        <w:spacing w:before="50" w:after="4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55"/>
              <w:left w:type="dxa" w:w="140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1"/>
                <w:szCs w:val="21"/>
              </w:rPr>
              <w:t xml:space="preserve">  TABLEAU RECAPITULATIF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83"/>
        <w:gridCol w:w="2179"/>
        <w:gridCol w:w="2773"/>
        <w:gridCol w:w="3171"/>
      </w:tblGrid>
      <w:tr>
        <w:trPr>
          <w:tblHeader/>
        </w:trPr>
        <w:tc>
          <w:tcPr>
            <w:tcW w:type="dxa" w:w="178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PHASE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ACTION CLE</w:t>
            </w:r>
          </w:p>
        </w:tc>
        <w:tc>
          <w:tcPr>
            <w:tcW w:type="dxa" w:w="27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OUTIL UTILISE</w:t>
            </w:r>
          </w:p>
        </w:tc>
        <w:tc>
          <w:tcPr>
            <w:tcW w:type="dxa" w:w="317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CHAPITRE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1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Refus de repondre a la demande initiale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Questionnaire de Cadrage + Technique de reformulation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1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2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Diagnostic des 3 niveaux : symptome, causes, systeme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Grille d analyse systemique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2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3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Identification M. L. comme vrai Sponsor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Cartographie des parties prenantes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3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4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Implication des opposants dans la solution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Matrice Allie / Opposant / Neutre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4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5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Evaluation 3 axes business / politique / operationnel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Grille d evaluation pre-engagement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5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6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Gemba precoce : photos terrain vs indicateurs officiels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Fiche Gemba Walk (Outil 4.1)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6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7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Conditions Go/No-Go avant signature contrat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Grille Go/No-Go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7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8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Gestion des 3 pieges : Scope Creep, paralysie, dissonance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Issues Log + Points terrain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8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9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Sortie progressive sans dependance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Plan de transfert + A3 rituel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9</w:t>
            </w:r>
          </w:p>
        </w:tc>
      </w:tr>
    </w:tbl>
    <w:p>
      <w:pPr>
        <w:spacing w:before="50" w:after="4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8963E" w:sz="12"/>
              <w:bottom w:val="none" w:sz="0" w:space="0" w:color="auto"/>
              <w:right w:val="none" w:sz="0" w:space="0" w:color="auto"/>
            </w:tcBorders>
            <w:shd w:fill="F8F4EE" w:color="auto" w:val="clear"/>
            <w:tcMar>
              <w:top w:type="dxa" w:w="50"/>
              <w:left w:type="dxa" w:w="140"/>
              <w:bottom w:type="dxa" w:w="50"/>
              <w:right w:type="dxa" w:w="10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C8963E" w:sz="4"/>
                <w:right w:val="none" w:color="FFFFFF" w:sz="0"/>
              </w:pBdr>
              <w:spacing w:before="50" w:after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8963E"/>
                <w:sz w:val="20"/>
                <w:szCs w:val="20"/>
              </w:rPr>
              <w:t xml:space="preserve">CONCLUSION DE L'ETUDE DE CAS</w:t>
            </w:r>
          </w:p>
          <w:p>
            <w:pPr>
              <w:spacing w:before="30" w:after="5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La Sucrerie de la Vallee illustre la lecon la plus importante de ce manuel : les meilleurs consultants ne sont pas ceux qui connaissent le plus d outils Lean, mais ceux qui savent lire la realite organisationnelle, identifier les vrais leviers (ici : la gouvernance de la planification) et avoir le courage de reformuler le probleme plutot que de repondre a la demande. Sophie a transforme un opposant en Sponsor, identifie une cause systemique masquee par des indicateurs biaises, et genere un ROI de 4:1 sans un seul outil Lean traditionnel.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9E6" w:sz="4"/>
      </w:pBdr>
      <w:jc w:val="center"/>
    </w:pPr>
    <w:r>
      <w:rPr>
        <w:rFonts w:ascii="Calibri" w:cs="Calibri" w:eastAsia="Calibri" w:hAnsi="Calibri"/>
        <w:b w:val="false"/>
        <w:bCs w:val="false"/>
        <w:i/>
        <w:iCs/>
        <w:color w:val="888888"/>
        <w:sz w:val="13"/>
        <w:szCs w:val="13"/>
      </w:rPr>
      <w:t xml:space="preserve">Manuel Pratique du Consultant en Excellence Operationnelle  |  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8963E" w:sz="4"/>
      </w:pBdr>
      <w:tabs>
        <w:tab w:val="right" w:pos="9026"/>
      </w:tabs>
      <w:jc w:val="right"/>
    </w:pPr>
    <w:r>
      <w:rPr>
        <w:rFonts w:ascii="Calibri" w:cs="Calibri" w:eastAsia="Calibri" w:hAnsi="Calibri"/>
        <w:b w:val="false"/>
        <w:bCs w:val="false"/>
        <w:i w:val="false"/>
        <w:iCs w:val="false"/>
        <w:color w:val="888888"/>
        <w:sz w:val="14"/>
        <w:szCs w:val="14"/>
      </w:rPr>
      <w:t xml:space="preserve">ETUDE DE CAS N°3 — SUCRERIE DE LA VALLEE — Manuel du Consultant en Excellence Operationnelle</w:t>
    </w:r>
    <w:r>
      <w:rPr>
        <w:rFonts w:ascii="Calibri" w:cs="Calibri" w:eastAsia="Calibri" w:hAnsi="Calibri"/>
      </w:rPr>
      <w:t xml:space="preserve">	</w:t>
    </w:r>
    <w:r>
      <w:rPr>
        <w:rFonts w:ascii="Calibri" w:cs="Calibri" w:eastAsia="Calibri" w:hAnsi="Calibri"/>
        <w:b/>
        <w:bCs/>
        <w:i w:val="false"/>
        <w:iCs w:val="false"/>
        <w:color w:val="C8963E"/>
        <w:sz w:val="14"/>
        <w:szCs w:val="14"/>
      </w:rPr>
      <w:t xml:space="preserve">Transformation Organisationnelle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4A5568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2026-03-30T08:36:45.685Z</dcterms:created>
  <dcterms:modified xsi:type="dcterms:W3CDTF">2026-03-30T08:36:45.685Z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